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2E" w:rsidRPr="000E2C7F" w:rsidRDefault="0016492E" w:rsidP="0016492E">
      <w:pPr>
        <w:jc w:val="right"/>
        <w:rPr>
          <w:rFonts w:ascii="Sylfaen" w:hAnsi="Sylfaen"/>
          <w:sz w:val="24"/>
          <w:szCs w:val="24"/>
        </w:rPr>
      </w:pPr>
    </w:p>
    <w:p w:rsidR="0016492E" w:rsidRPr="000E2C7F" w:rsidRDefault="0016492E" w:rsidP="0016492E">
      <w:pPr>
        <w:jc w:val="right"/>
        <w:rPr>
          <w:rFonts w:ascii="Sylfaen" w:hAnsi="Sylfaen"/>
          <w:sz w:val="24"/>
          <w:szCs w:val="24"/>
        </w:rPr>
      </w:pPr>
    </w:p>
    <w:p w:rsidR="0016492E" w:rsidRPr="000E2C7F" w:rsidRDefault="0016492E" w:rsidP="0016492E">
      <w:pPr>
        <w:jc w:val="right"/>
        <w:rPr>
          <w:rFonts w:ascii="Sylfaen" w:hAnsi="Sylfaen"/>
          <w:sz w:val="24"/>
          <w:szCs w:val="24"/>
        </w:rPr>
      </w:pPr>
    </w:p>
    <w:p w:rsidR="0016492E" w:rsidRPr="000E2C7F" w:rsidRDefault="0016492E" w:rsidP="0016492E">
      <w:pPr>
        <w:jc w:val="right"/>
        <w:rPr>
          <w:rFonts w:ascii="Sylfaen" w:hAnsi="Sylfaen"/>
          <w:sz w:val="24"/>
          <w:szCs w:val="24"/>
        </w:rPr>
      </w:pPr>
    </w:p>
    <w:p w:rsidR="00482279" w:rsidRPr="000E2C7F" w:rsidRDefault="0016492E" w:rsidP="00482279">
      <w:pPr>
        <w:spacing w:after="0" w:line="312" w:lineRule="auto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Հայաստանի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Հանարապետության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բնապահպանության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նախարարության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</w:p>
    <w:p w:rsidR="00482279" w:rsidRPr="000E2C7F" w:rsidRDefault="0016492E" w:rsidP="00482279">
      <w:pPr>
        <w:spacing w:after="0" w:line="312" w:lineRule="auto"/>
        <w:jc w:val="right"/>
        <w:rPr>
          <w:rFonts w:ascii="Sylfaen" w:hAnsi="Sylfaen"/>
          <w:b/>
          <w:sz w:val="24"/>
          <w:szCs w:val="24"/>
        </w:rPr>
      </w:pPr>
      <w:r w:rsidRPr="000E2C7F">
        <w:rPr>
          <w:rFonts w:ascii="Sylfaen" w:hAnsi="Sylfaen"/>
          <w:b/>
          <w:sz w:val="24"/>
          <w:szCs w:val="24"/>
        </w:rPr>
        <w:t xml:space="preserve">Վտանգավոր նյութերի և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թափոնների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քաղաքականության </w:t>
      </w:r>
    </w:p>
    <w:p w:rsidR="009C5CA4" w:rsidRPr="000E2C7F" w:rsidRDefault="00482279" w:rsidP="00482279">
      <w:pPr>
        <w:spacing w:after="0" w:line="312" w:lineRule="auto"/>
        <w:jc w:val="right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0E2C7F">
        <w:rPr>
          <w:rFonts w:ascii="Sylfaen" w:hAnsi="Sylfaen"/>
          <w:b/>
          <w:sz w:val="24"/>
          <w:szCs w:val="24"/>
          <w:lang w:val="en-US"/>
        </w:rPr>
        <w:t>բաժնի</w:t>
      </w:r>
      <w:proofErr w:type="spellEnd"/>
      <w:proofErr w:type="gram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պետ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Անահիտ</w:t>
      </w:r>
      <w:proofErr w:type="spellEnd"/>
      <w:r w:rsidRPr="000E2C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C7F">
        <w:rPr>
          <w:rFonts w:ascii="Sylfaen" w:hAnsi="Sylfaen"/>
          <w:b/>
          <w:sz w:val="24"/>
          <w:szCs w:val="24"/>
          <w:lang w:val="en-US"/>
        </w:rPr>
        <w:t>Ալեքսանդրյանին</w:t>
      </w:r>
      <w:proofErr w:type="spellEnd"/>
      <w:r w:rsidR="00855773" w:rsidRPr="000E2C7F">
        <w:rPr>
          <w:rFonts w:ascii="Sylfaen" w:hAnsi="Sylfaen"/>
          <w:b/>
          <w:sz w:val="24"/>
          <w:szCs w:val="24"/>
        </w:rPr>
        <w:t xml:space="preserve"> </w:t>
      </w:r>
    </w:p>
    <w:p w:rsidR="0016492E" w:rsidRDefault="0016492E" w:rsidP="0016492E">
      <w:pPr>
        <w:spacing w:after="0" w:line="312" w:lineRule="auto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E353F9" w:rsidRPr="00E353F9" w:rsidRDefault="00E353F9" w:rsidP="0016492E">
      <w:pPr>
        <w:spacing w:after="0" w:line="312" w:lineRule="auto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482279" w:rsidRPr="00E353F9" w:rsidRDefault="00482279" w:rsidP="00B648B4">
      <w:pPr>
        <w:spacing w:after="0" w:line="312" w:lineRule="auto"/>
        <w:ind w:firstLine="284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Անահիտ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Ալեքսանդրյան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, </w:t>
      </w:r>
    </w:p>
    <w:p w:rsidR="00482279" w:rsidRPr="00E353F9" w:rsidRDefault="00482279" w:rsidP="00B648B4">
      <w:pPr>
        <w:spacing w:after="0" w:line="312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</w:p>
    <w:p w:rsidR="00482279" w:rsidRPr="00E353F9" w:rsidRDefault="00482279" w:rsidP="00B648B4">
      <w:pPr>
        <w:spacing w:after="0" w:line="312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  <w:lang w:val="en-US"/>
        </w:rPr>
        <w:t>ԵՊՀ</w:t>
      </w:r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իրավագիտության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ֆակուլտետի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էկոլոգիական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իրավունքի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գիտաուսումնական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կենտրոնը</w:t>
      </w:r>
      <w:proofErr w:type="spellEnd"/>
      <w:r w:rsidR="007632DA" w:rsidRPr="00E353F9">
        <w:rPr>
          <w:rFonts w:ascii="Sylfaen" w:hAnsi="Sylfaen"/>
          <w:sz w:val="24"/>
          <w:szCs w:val="24"/>
          <w:lang w:val="en-US"/>
        </w:rPr>
        <w:t>,</w:t>
      </w:r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ուսումնասիրելով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Pr="00E353F9">
        <w:rPr>
          <w:rFonts w:ascii="Sylfaen" w:hAnsi="Sylfaen"/>
          <w:sz w:val="24"/>
          <w:szCs w:val="24"/>
          <w:lang w:val="en-US"/>
        </w:rPr>
        <w:t>“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Քիմիական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”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32DA" w:rsidRPr="000E2C7F">
        <w:rPr>
          <w:rFonts w:ascii="Sylfaen" w:hAnsi="Sylfaen"/>
          <w:sz w:val="24"/>
          <w:szCs w:val="24"/>
          <w:lang w:val="en-US"/>
        </w:rPr>
        <w:t>Հան</w:t>
      </w:r>
      <w:r w:rsidRPr="000E2C7F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7632DA" w:rsidRPr="000E2C7F">
        <w:rPr>
          <w:rFonts w:ascii="Sylfaen" w:hAnsi="Sylfaen"/>
          <w:sz w:val="24"/>
          <w:szCs w:val="24"/>
        </w:rPr>
        <w:t>ա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նախագիծը</w:t>
      </w:r>
      <w:proofErr w:type="spellEnd"/>
      <w:r w:rsidR="007632DA" w:rsidRPr="00E353F9">
        <w:rPr>
          <w:rFonts w:ascii="Sylfaen" w:hAnsi="Sylfaen"/>
          <w:sz w:val="24"/>
          <w:szCs w:val="24"/>
          <w:lang w:val="en-US"/>
        </w:rPr>
        <w:t xml:space="preserve">, </w:t>
      </w:r>
      <w:r w:rsidR="007632DA" w:rsidRPr="000E2C7F">
        <w:rPr>
          <w:rFonts w:ascii="Sylfaen" w:hAnsi="Sylfaen"/>
          <w:sz w:val="24"/>
          <w:szCs w:val="24"/>
        </w:rPr>
        <w:t>կարծում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ենք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` </w:t>
      </w:r>
      <w:r w:rsidR="007632DA" w:rsidRPr="000E2C7F">
        <w:rPr>
          <w:rFonts w:ascii="Sylfaen" w:hAnsi="Sylfaen"/>
          <w:sz w:val="24"/>
          <w:szCs w:val="24"/>
        </w:rPr>
        <w:t>այն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ընդգրկում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է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կարգավորման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ենթակա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32DA" w:rsidRPr="000E2C7F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հարաբերությունների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շրջանակը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, </w:t>
      </w:r>
      <w:r w:rsidR="007632DA" w:rsidRPr="000E2C7F">
        <w:rPr>
          <w:rFonts w:ascii="Sylfaen" w:hAnsi="Sylfaen"/>
          <w:sz w:val="24"/>
          <w:szCs w:val="24"/>
        </w:rPr>
        <w:t>համապատասխանում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է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իրավաբանական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տեխնիկայի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 </w:t>
      </w:r>
      <w:r w:rsidR="007632DA" w:rsidRPr="000E2C7F">
        <w:rPr>
          <w:rFonts w:ascii="Sylfaen" w:hAnsi="Sylfaen"/>
          <w:sz w:val="24"/>
          <w:szCs w:val="24"/>
        </w:rPr>
        <w:t>կանոններին</w:t>
      </w:r>
      <w:r w:rsidR="007632DA" w:rsidRPr="00E353F9">
        <w:rPr>
          <w:rFonts w:ascii="Sylfaen" w:hAnsi="Sylfaen"/>
          <w:sz w:val="24"/>
          <w:szCs w:val="24"/>
          <w:lang w:val="en-US"/>
        </w:rPr>
        <w:t xml:space="preserve">: </w:t>
      </w:r>
    </w:p>
    <w:p w:rsidR="007632DA" w:rsidRPr="00E353F9" w:rsidRDefault="007632DA" w:rsidP="00B648B4">
      <w:pPr>
        <w:spacing w:after="0" w:line="312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Այդուհանդերձ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կից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5370" w:rsidRPr="000E2C7F">
        <w:rPr>
          <w:rFonts w:ascii="Sylfaen" w:hAnsi="Sylfaen"/>
          <w:sz w:val="24"/>
          <w:szCs w:val="24"/>
          <w:lang w:val="en-US"/>
        </w:rPr>
        <w:t>որոշակ</w:t>
      </w:r>
      <w:r w:rsidRPr="000E2C7F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առաջարկներ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կբարելավեն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: </w:t>
      </w:r>
    </w:p>
    <w:p w:rsidR="007632DA" w:rsidRPr="00E353F9" w:rsidRDefault="007632DA" w:rsidP="00B648B4">
      <w:pPr>
        <w:spacing w:after="0" w:line="312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Կից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ներակայացնում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առաջարկները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առդիր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` </w:t>
      </w:r>
      <w:r w:rsidR="000E2C7F" w:rsidRPr="00E353F9">
        <w:rPr>
          <w:rFonts w:ascii="Sylfaen" w:hAnsi="Sylfaen"/>
          <w:sz w:val="24"/>
          <w:szCs w:val="24"/>
          <w:lang w:val="en-US"/>
        </w:rPr>
        <w:t>3</w:t>
      </w:r>
      <w:r w:rsidRPr="00E353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E353F9">
        <w:rPr>
          <w:rFonts w:ascii="Sylfaen" w:hAnsi="Sylfaen"/>
          <w:sz w:val="24"/>
          <w:szCs w:val="24"/>
          <w:lang w:val="en-US"/>
        </w:rPr>
        <w:t xml:space="preserve"> </w:t>
      </w: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632DA" w:rsidRPr="00E353F9" w:rsidRDefault="007632DA" w:rsidP="007632DA">
      <w:pPr>
        <w:spacing w:after="0" w:line="312" w:lineRule="auto"/>
        <w:ind w:firstLine="142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F421D5" w:rsidRPr="000E2C7F" w:rsidRDefault="00F421D5" w:rsidP="00F421D5">
      <w:pPr>
        <w:pStyle w:val="ListParagraph"/>
        <w:spacing w:after="0" w:line="312" w:lineRule="auto"/>
        <w:ind w:left="900"/>
        <w:jc w:val="center"/>
        <w:rPr>
          <w:rFonts w:ascii="Sylfaen" w:hAnsi="Sylfaen"/>
          <w:b/>
          <w:sz w:val="24"/>
          <w:szCs w:val="24"/>
          <w:lang w:val="en-US"/>
        </w:rPr>
      </w:pPr>
      <w:r w:rsidRPr="000E2C7F">
        <w:rPr>
          <w:rFonts w:ascii="Sylfaen" w:hAnsi="Sylfaen"/>
          <w:b/>
          <w:sz w:val="24"/>
          <w:szCs w:val="24"/>
          <w:lang w:val="en-US"/>
        </w:rPr>
        <w:t xml:space="preserve">ԱՌԱՋԱՐԿՆԵՐ ԵՎ ԴԻՏՈՂՈՒԹՅՈՒՆՆԵՐ </w:t>
      </w:r>
    </w:p>
    <w:p w:rsidR="00F421D5" w:rsidRPr="000E2C7F" w:rsidRDefault="00F421D5" w:rsidP="00F421D5">
      <w:pPr>
        <w:pStyle w:val="ListParagraph"/>
        <w:spacing w:after="0" w:line="312" w:lineRule="auto"/>
        <w:ind w:left="90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F4E7D" w:rsidRPr="000E2C7F" w:rsidRDefault="007632DA" w:rsidP="003F4E7D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Նախագծում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կարգավորման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առարկան</w:t>
      </w:r>
      <w:proofErr w:type="spellEnd"/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եվ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ոլորտը</w:t>
      </w:r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ձևակերպել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1-ին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հոդվածում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կարգավորման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` 2-րդ </w:t>
      </w:r>
      <w:proofErr w:type="spellStart"/>
      <w:r w:rsidR="00F421D5" w:rsidRPr="000E2C7F">
        <w:rPr>
          <w:rFonts w:ascii="Sylfaen" w:hAnsi="Sylfaen"/>
          <w:sz w:val="24"/>
          <w:szCs w:val="24"/>
          <w:lang w:val="en-US"/>
        </w:rPr>
        <w:t>հոդվածում</w:t>
      </w:r>
      <w:proofErr w:type="spellEnd"/>
      <w:r w:rsidR="00F421D5"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7969DD" w:rsidRPr="000E2C7F" w:rsidRDefault="00F421D5" w:rsidP="007632DA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1-ին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հոդվածում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կարգավորման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նպատակները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ձևակերպված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չափազանց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իրավակարգավորման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համատեքստում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ուղենիշ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հարաբերությունների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կարգավորման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969DD" w:rsidRPr="000E2C7F">
        <w:rPr>
          <w:rFonts w:ascii="Sylfaen" w:hAnsi="Sylfaen"/>
          <w:sz w:val="24"/>
          <w:szCs w:val="24"/>
          <w:lang w:val="en-US"/>
        </w:rPr>
        <w:t xml:space="preserve">: </w:t>
      </w:r>
      <w:r w:rsidR="007969DD" w:rsidRPr="000E2C7F">
        <w:rPr>
          <w:rFonts w:ascii="Sylfaen" w:hAnsi="Sylfaen"/>
          <w:sz w:val="24"/>
          <w:szCs w:val="24"/>
        </w:rPr>
        <w:t>Ուստի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առաջարկում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ենք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վերանայել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դրանք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` </w:t>
      </w:r>
      <w:r w:rsidR="007969DD" w:rsidRPr="000E2C7F">
        <w:rPr>
          <w:rFonts w:ascii="Sylfaen" w:hAnsi="Sylfaen"/>
          <w:sz w:val="24"/>
          <w:szCs w:val="24"/>
        </w:rPr>
        <w:t>ամրագրելով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ավելի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որոշակի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969DD" w:rsidRPr="000E2C7F">
        <w:rPr>
          <w:rFonts w:ascii="Sylfaen" w:hAnsi="Sylfaen"/>
          <w:sz w:val="24"/>
          <w:szCs w:val="24"/>
        </w:rPr>
        <w:t>նպատակներ</w:t>
      </w:r>
      <w:r w:rsidR="007969DD"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7969DD" w:rsidRPr="000E2C7F" w:rsidRDefault="007969DD" w:rsidP="007632DA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Օրենքի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մասում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գործածության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բառից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հետո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դուրս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բերել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հետ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կապված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բառակապակցությունը</w:t>
      </w:r>
      <w:r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Pr="000E2C7F">
        <w:rPr>
          <w:rFonts w:ascii="Sylfaen" w:hAnsi="Sylfaen"/>
          <w:sz w:val="24"/>
          <w:szCs w:val="24"/>
        </w:rPr>
        <w:t>քանի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որ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Օրենքը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պետք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անմիջապես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կարգավորի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քիմիական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նյութերի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գործածության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հարաբերությունները</w:t>
      </w:r>
      <w:r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7969DD" w:rsidRPr="000E2C7F" w:rsidRDefault="007969DD" w:rsidP="007632DA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4-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մասի</w:t>
      </w:r>
      <w:r w:rsidRPr="000E2C7F">
        <w:rPr>
          <w:rFonts w:ascii="Sylfaen" w:hAnsi="Sylfaen"/>
          <w:sz w:val="24"/>
          <w:szCs w:val="24"/>
          <w:lang w:val="en-US"/>
        </w:rPr>
        <w:t xml:space="preserve"> 1) </w:t>
      </w:r>
      <w:r w:rsidRPr="000E2C7F">
        <w:rPr>
          <w:rFonts w:ascii="Sylfaen" w:hAnsi="Sylfaen"/>
          <w:sz w:val="24"/>
          <w:szCs w:val="24"/>
        </w:rPr>
        <w:t>ենթակետի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սկզբունքները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նույնանում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ձևակերպված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նպատակների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հետ</w:t>
      </w:r>
      <w:r w:rsidRPr="000E2C7F">
        <w:rPr>
          <w:rFonts w:ascii="Sylfaen" w:hAnsi="Sylfaen"/>
          <w:sz w:val="24"/>
          <w:szCs w:val="24"/>
          <w:lang w:val="en-US"/>
        </w:rPr>
        <w:t xml:space="preserve">: </w:t>
      </w:r>
      <w:r w:rsidRPr="000E2C7F">
        <w:rPr>
          <w:rFonts w:ascii="Sylfaen" w:hAnsi="Sylfaen"/>
          <w:sz w:val="24"/>
          <w:szCs w:val="24"/>
        </w:rPr>
        <w:t>Ուստի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վերաձևակերպել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համապատասխան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նպատակները</w:t>
      </w:r>
      <w:r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E201A7" w:rsidRPr="000E2C7F" w:rsidRDefault="00E201A7" w:rsidP="007632DA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5-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մասի</w:t>
      </w:r>
      <w:r w:rsidRPr="000E2C7F">
        <w:rPr>
          <w:rFonts w:ascii="Sylfaen" w:hAnsi="Sylfaen"/>
          <w:sz w:val="24"/>
          <w:szCs w:val="24"/>
          <w:lang w:val="en-US"/>
        </w:rPr>
        <w:t xml:space="preserve"> 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ենթակետից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հետո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ավելացնել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պոտենցիալ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վտանգավոր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նյութ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հասկացությունը</w:t>
      </w:r>
      <w:r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Pr="000E2C7F">
        <w:rPr>
          <w:rFonts w:ascii="Sylfaen" w:hAnsi="Sylfaen"/>
          <w:sz w:val="24"/>
          <w:szCs w:val="24"/>
        </w:rPr>
        <w:t>որին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հանդիպում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ենք</w:t>
      </w:r>
      <w:r w:rsidRPr="000E2C7F">
        <w:rPr>
          <w:rFonts w:ascii="Sylfaen" w:hAnsi="Sylfaen"/>
          <w:sz w:val="24"/>
          <w:szCs w:val="24"/>
          <w:lang w:val="en-US"/>
        </w:rPr>
        <w:t xml:space="preserve"> 12-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6-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մասում</w:t>
      </w:r>
      <w:r w:rsidRPr="000E2C7F">
        <w:rPr>
          <w:rFonts w:ascii="Sylfaen" w:hAnsi="Sylfaen"/>
          <w:sz w:val="24"/>
          <w:szCs w:val="24"/>
          <w:lang w:val="en-US"/>
        </w:rPr>
        <w:t>:</w:t>
      </w:r>
    </w:p>
    <w:p w:rsidR="00AF5B3C" w:rsidRPr="000E2C7F" w:rsidRDefault="007969DD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6-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և</w:t>
      </w:r>
      <w:r w:rsidRPr="000E2C7F">
        <w:rPr>
          <w:rFonts w:ascii="Sylfaen" w:hAnsi="Sylfaen"/>
          <w:sz w:val="24"/>
          <w:szCs w:val="24"/>
          <w:lang w:val="en-US"/>
        </w:rPr>
        <w:t xml:space="preserve"> 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մասերն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դուրս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բերել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Նախագծից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="00B41E4C" w:rsidRPr="000E2C7F">
        <w:rPr>
          <w:rFonts w:ascii="Sylfaen" w:hAnsi="Sylfaen"/>
          <w:sz w:val="24"/>
          <w:szCs w:val="24"/>
        </w:rPr>
        <w:t>քանի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որ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քիմիական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նյութերի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դասակրգման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նպատակը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և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չափանիշներն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արդեն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իսկ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ամրագրված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են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Նախագծի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5-</w:t>
      </w:r>
      <w:r w:rsidR="00B41E4C" w:rsidRPr="000E2C7F">
        <w:rPr>
          <w:rFonts w:ascii="Sylfaen" w:hAnsi="Sylfaen"/>
          <w:sz w:val="24"/>
          <w:szCs w:val="24"/>
        </w:rPr>
        <w:t>րդ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հոդվածի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="00B41E4C" w:rsidRPr="000E2C7F">
        <w:rPr>
          <w:rFonts w:ascii="Sylfaen" w:hAnsi="Sylfaen"/>
          <w:sz w:val="24"/>
          <w:szCs w:val="24"/>
        </w:rPr>
        <w:t>ին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հոդվածի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5-</w:t>
      </w:r>
      <w:r w:rsidR="00B41E4C" w:rsidRPr="000E2C7F">
        <w:rPr>
          <w:rFonts w:ascii="Sylfaen" w:hAnsi="Sylfaen"/>
          <w:sz w:val="24"/>
          <w:szCs w:val="24"/>
        </w:rPr>
        <w:t>րդ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ենթակետում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: </w:t>
      </w:r>
      <w:r w:rsidR="00B41E4C" w:rsidRPr="000E2C7F">
        <w:rPr>
          <w:rFonts w:ascii="Sylfaen" w:hAnsi="Sylfaen"/>
          <w:sz w:val="24"/>
          <w:szCs w:val="24"/>
        </w:rPr>
        <w:t>Հ</w:t>
      </w:r>
      <w:proofErr w:type="spellStart"/>
      <w:r w:rsidR="00B41E4C" w:rsidRPr="000E2C7F">
        <w:rPr>
          <w:rFonts w:ascii="Sylfaen" w:hAnsi="Sylfaen"/>
          <w:sz w:val="24"/>
          <w:szCs w:val="24"/>
          <w:lang w:val="en-US"/>
        </w:rPr>
        <w:t>ետևաբար</w:t>
      </w:r>
      <w:proofErr w:type="spellEnd"/>
      <w:r w:rsidR="00B41E4C"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="00B41E4C" w:rsidRPr="000E2C7F">
        <w:rPr>
          <w:rFonts w:ascii="Sylfaen" w:hAnsi="Sylfaen"/>
          <w:sz w:val="24"/>
          <w:szCs w:val="24"/>
        </w:rPr>
        <w:t>Նախագիծը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չպետք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է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ծանրաբեռնել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կրկնող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B41E4C" w:rsidRPr="000E2C7F">
        <w:rPr>
          <w:rFonts w:ascii="Sylfaen" w:hAnsi="Sylfaen"/>
          <w:sz w:val="24"/>
          <w:szCs w:val="24"/>
        </w:rPr>
        <w:t>դրույթներով</w:t>
      </w:r>
      <w:r w:rsidR="00B41E4C"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AF5B3C" w:rsidRPr="000E2C7F" w:rsidRDefault="00B41E4C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Կարծում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ենք</w:t>
      </w:r>
      <w:r w:rsidRPr="000E2C7F">
        <w:rPr>
          <w:rFonts w:ascii="Sylfaen" w:hAnsi="Sylfaen"/>
          <w:sz w:val="24"/>
          <w:szCs w:val="24"/>
          <w:lang w:val="en-US"/>
        </w:rPr>
        <w:t xml:space="preserve">`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 </w:t>
      </w: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6-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հոդվածի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3-</w:t>
      </w:r>
      <w:r w:rsidR="00AF5B3C" w:rsidRPr="000E2C7F">
        <w:rPr>
          <w:rFonts w:ascii="Sylfaen" w:hAnsi="Sylfaen"/>
          <w:sz w:val="24"/>
          <w:szCs w:val="24"/>
        </w:rPr>
        <w:t>րդ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մասն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անհրաժեշտ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է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վերաձևակերպել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հետևյալ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կերպ</w:t>
      </w:r>
      <w:r w:rsidR="00AF5B3C" w:rsidRPr="000E2C7F">
        <w:rPr>
          <w:rFonts w:ascii="Sylfaen" w:hAnsi="Sylfaen"/>
          <w:sz w:val="24"/>
          <w:szCs w:val="24"/>
          <w:lang w:val="en-US"/>
        </w:rPr>
        <w:t>. «</w:t>
      </w:r>
      <w:r w:rsidR="00AF5B3C" w:rsidRPr="000E2C7F">
        <w:rPr>
          <w:rFonts w:ascii="Sylfaen" w:hAnsi="Sylfaen"/>
          <w:sz w:val="24"/>
          <w:szCs w:val="24"/>
        </w:rPr>
        <w:t>Քիմիական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նյութերը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արտադրության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և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կիրառման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ընթացքում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կարող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են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ներկայացնել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վտանգավորության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հետևյալ</w:t>
      </w:r>
      <w:r w:rsidR="00AF5B3C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AF5B3C" w:rsidRPr="000E2C7F">
        <w:rPr>
          <w:rFonts w:ascii="Sylfaen" w:hAnsi="Sylfaen"/>
          <w:sz w:val="24"/>
          <w:szCs w:val="24"/>
        </w:rPr>
        <w:t>տեսակները</w:t>
      </w:r>
      <w:r w:rsidR="00AF5B3C" w:rsidRPr="000E2C7F">
        <w:rPr>
          <w:rFonts w:ascii="Sylfaen" w:hAnsi="Sylfaen"/>
          <w:sz w:val="24"/>
          <w:szCs w:val="24"/>
          <w:lang w:val="en-US"/>
        </w:rPr>
        <w:t>.</w:t>
      </w:r>
    </w:p>
    <w:p w:rsidR="00AF5B3C" w:rsidRPr="000E2C7F" w:rsidRDefault="00AF5B3C" w:rsidP="00AF5B3C">
      <w:pPr>
        <w:pStyle w:val="ListParagraph"/>
        <w:spacing w:after="0" w:line="312" w:lineRule="auto"/>
        <w:ind w:left="900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  <w:lang w:val="en-US"/>
        </w:rPr>
        <w:t xml:space="preserve">1) </w:t>
      </w:r>
      <w:proofErr w:type="gramStart"/>
      <w:r w:rsidRPr="000E2C7F">
        <w:rPr>
          <w:rFonts w:ascii="Sylfaen" w:hAnsi="Sylfaen"/>
          <w:sz w:val="24"/>
          <w:szCs w:val="24"/>
        </w:rPr>
        <w:t>հրդեհավտանգ</w:t>
      </w:r>
      <w:proofErr w:type="gramEnd"/>
      <w:r w:rsidRPr="000E2C7F">
        <w:rPr>
          <w:rFonts w:ascii="Sylfaen" w:hAnsi="Sylfaen"/>
          <w:sz w:val="24"/>
          <w:szCs w:val="24"/>
          <w:lang w:val="en-US"/>
        </w:rPr>
        <w:t>,</w:t>
      </w:r>
    </w:p>
    <w:p w:rsidR="00AF5B3C" w:rsidRPr="000E2C7F" w:rsidRDefault="00AF5B3C" w:rsidP="00AF5B3C">
      <w:pPr>
        <w:pStyle w:val="ListParagraph"/>
        <w:spacing w:after="0" w:line="312" w:lineRule="auto"/>
        <w:ind w:left="900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  <w:lang w:val="en-US"/>
        </w:rPr>
        <w:t xml:space="preserve">2) </w:t>
      </w:r>
      <w:proofErr w:type="gramStart"/>
      <w:r w:rsidRPr="000E2C7F">
        <w:rPr>
          <w:rFonts w:ascii="Sylfaen" w:hAnsi="Sylfaen"/>
          <w:sz w:val="24"/>
          <w:szCs w:val="24"/>
        </w:rPr>
        <w:t>պայթյունավտանգ</w:t>
      </w:r>
      <w:proofErr w:type="gramEnd"/>
      <w:r w:rsidRPr="000E2C7F">
        <w:rPr>
          <w:rFonts w:ascii="Sylfaen" w:hAnsi="Sylfaen"/>
          <w:sz w:val="24"/>
          <w:szCs w:val="24"/>
          <w:lang w:val="en-US"/>
        </w:rPr>
        <w:t>,</w:t>
      </w:r>
    </w:p>
    <w:p w:rsidR="00AF5B3C" w:rsidRPr="000E2C7F" w:rsidRDefault="00AF5B3C" w:rsidP="00AF5B3C">
      <w:pPr>
        <w:pStyle w:val="ListParagraph"/>
        <w:spacing w:after="0" w:line="312" w:lineRule="auto"/>
        <w:ind w:left="900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  <w:lang w:val="en-US"/>
        </w:rPr>
        <w:t xml:space="preserve">3) </w:t>
      </w:r>
      <w:proofErr w:type="gramStart"/>
      <w:r w:rsidRPr="000E2C7F">
        <w:rPr>
          <w:rFonts w:ascii="Sylfaen" w:hAnsi="Sylfaen"/>
          <w:sz w:val="24"/>
          <w:szCs w:val="24"/>
        </w:rPr>
        <w:t>կոռոզիոն</w:t>
      </w:r>
      <w:proofErr w:type="gramEnd"/>
      <w:r w:rsidRPr="000E2C7F">
        <w:rPr>
          <w:rFonts w:ascii="Sylfaen" w:hAnsi="Sylfaen"/>
          <w:sz w:val="24"/>
          <w:szCs w:val="24"/>
          <w:lang w:val="en-US"/>
        </w:rPr>
        <w:t xml:space="preserve"> (</w:t>
      </w:r>
      <w:r w:rsidRPr="000E2C7F">
        <w:rPr>
          <w:rFonts w:ascii="Sylfaen" w:hAnsi="Sylfaen"/>
          <w:sz w:val="24"/>
          <w:szCs w:val="24"/>
        </w:rPr>
        <w:t>քայքայիչ</w:t>
      </w:r>
      <w:r w:rsidRPr="000E2C7F">
        <w:rPr>
          <w:rFonts w:ascii="Sylfaen" w:hAnsi="Sylfaen"/>
          <w:sz w:val="24"/>
          <w:szCs w:val="24"/>
          <w:lang w:val="en-US"/>
        </w:rPr>
        <w:t xml:space="preserve">) </w:t>
      </w:r>
      <w:r w:rsidRPr="000E2C7F">
        <w:rPr>
          <w:rFonts w:ascii="Sylfaen" w:hAnsi="Sylfaen"/>
          <w:sz w:val="24"/>
          <w:szCs w:val="24"/>
        </w:rPr>
        <w:t>ակտիվ</w:t>
      </w:r>
      <w:r w:rsidRPr="000E2C7F">
        <w:rPr>
          <w:rFonts w:ascii="Sylfaen" w:hAnsi="Sylfaen"/>
          <w:sz w:val="24"/>
          <w:szCs w:val="24"/>
          <w:lang w:val="en-US"/>
        </w:rPr>
        <w:t>,</w:t>
      </w:r>
    </w:p>
    <w:p w:rsidR="00AF5B3C" w:rsidRPr="000E2C7F" w:rsidRDefault="00AF5B3C" w:rsidP="00AF5B3C">
      <w:pPr>
        <w:pStyle w:val="ListParagraph"/>
        <w:spacing w:after="0" w:line="312" w:lineRule="auto"/>
        <w:ind w:left="900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  <w:lang w:val="en-US"/>
        </w:rPr>
        <w:t xml:space="preserve">4) </w:t>
      </w:r>
      <w:proofErr w:type="gramStart"/>
      <w:r w:rsidRPr="000E2C7F">
        <w:rPr>
          <w:rFonts w:ascii="Sylfaen" w:hAnsi="Sylfaen"/>
          <w:sz w:val="24"/>
          <w:szCs w:val="24"/>
        </w:rPr>
        <w:t>թունունակ</w:t>
      </w:r>
      <w:proofErr w:type="gramEnd"/>
      <w:r w:rsidRPr="000E2C7F">
        <w:rPr>
          <w:rFonts w:ascii="Sylfaen" w:hAnsi="Sylfaen"/>
          <w:sz w:val="24"/>
          <w:szCs w:val="24"/>
        </w:rPr>
        <w:t>:</w:t>
      </w:r>
      <w:r w:rsidRPr="000E2C7F">
        <w:rPr>
          <w:rFonts w:ascii="Sylfaen" w:hAnsi="Sylfaen"/>
          <w:sz w:val="24"/>
          <w:szCs w:val="24"/>
          <w:lang w:val="en-US"/>
        </w:rPr>
        <w:t>»</w:t>
      </w:r>
    </w:p>
    <w:p w:rsidR="00AF5B3C" w:rsidRPr="000E2C7F" w:rsidRDefault="00AF5B3C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lastRenderedPageBreak/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8-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4-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մասի</w:t>
      </w:r>
      <w:r w:rsidRPr="000E2C7F">
        <w:rPr>
          <w:rFonts w:ascii="Sylfaen" w:hAnsi="Sylfaen"/>
          <w:sz w:val="24"/>
          <w:szCs w:val="24"/>
          <w:lang w:val="en-US"/>
        </w:rPr>
        <w:t xml:space="preserve"> 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ենթակետում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հսկողության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բառն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փոխարինել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վերահսկողության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բառով</w:t>
      </w:r>
      <w:r w:rsidRPr="000E2C7F">
        <w:rPr>
          <w:rFonts w:ascii="Sylfaen" w:hAnsi="Sylfaen"/>
          <w:sz w:val="24"/>
          <w:szCs w:val="24"/>
          <w:lang w:val="en-US"/>
        </w:rPr>
        <w:t xml:space="preserve">:  </w:t>
      </w:r>
    </w:p>
    <w:p w:rsidR="00E201A7" w:rsidRPr="000E2C7F" w:rsidRDefault="00E201A7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10-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մասի</w:t>
      </w:r>
      <w:r w:rsidRPr="000E2C7F">
        <w:rPr>
          <w:rFonts w:ascii="Sylfaen" w:hAnsi="Sylfaen"/>
          <w:sz w:val="24"/>
          <w:szCs w:val="24"/>
          <w:lang w:val="en-US"/>
        </w:rPr>
        <w:t xml:space="preserve"> 9-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ենթակետից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հանել</w:t>
      </w:r>
      <w:r w:rsidRPr="000E2C7F">
        <w:rPr>
          <w:rFonts w:ascii="Sylfaen" w:hAnsi="Sylfaen"/>
          <w:sz w:val="24"/>
          <w:szCs w:val="24"/>
          <w:lang w:val="en-US"/>
        </w:rPr>
        <w:t xml:space="preserve"> «</w:t>
      </w:r>
      <w:r w:rsidRPr="000E2C7F">
        <w:rPr>
          <w:rFonts w:ascii="Sylfaen" w:hAnsi="Sylfaen"/>
          <w:sz w:val="24"/>
          <w:szCs w:val="24"/>
        </w:rPr>
        <w:t>պարտադիր</w:t>
      </w:r>
      <w:r w:rsidRPr="000E2C7F">
        <w:rPr>
          <w:rFonts w:ascii="Sylfaen" w:hAnsi="Sylfaen"/>
          <w:sz w:val="24"/>
          <w:szCs w:val="24"/>
          <w:lang w:val="en-US"/>
        </w:rPr>
        <w:t xml:space="preserve">» </w:t>
      </w:r>
      <w:r w:rsidRPr="000E2C7F">
        <w:rPr>
          <w:rFonts w:ascii="Sylfaen" w:hAnsi="Sylfaen"/>
          <w:sz w:val="24"/>
          <w:szCs w:val="24"/>
        </w:rPr>
        <w:t>բառը</w:t>
      </w:r>
      <w:r w:rsidRPr="000E2C7F">
        <w:rPr>
          <w:rFonts w:ascii="Sylfaen" w:hAnsi="Sylfaen"/>
          <w:sz w:val="24"/>
          <w:szCs w:val="24"/>
          <w:lang w:val="en-US"/>
        </w:rPr>
        <w:t>:</w:t>
      </w:r>
    </w:p>
    <w:p w:rsidR="00E201A7" w:rsidRPr="000E2C7F" w:rsidRDefault="00E201A7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13-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2-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մասի</w:t>
      </w:r>
      <w:r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Pr="000E2C7F">
        <w:rPr>
          <w:rFonts w:ascii="Sylfaen" w:hAnsi="Sylfaen"/>
          <w:sz w:val="24"/>
          <w:szCs w:val="24"/>
        </w:rPr>
        <w:t>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ենթակետն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անհրաժեշտ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հստակեցնել</w:t>
      </w:r>
      <w:r w:rsidRPr="000E2C7F">
        <w:rPr>
          <w:rFonts w:ascii="Sylfaen" w:hAnsi="Sylfaen"/>
          <w:sz w:val="24"/>
          <w:szCs w:val="24"/>
          <w:lang w:val="en-US"/>
        </w:rPr>
        <w:t xml:space="preserve">. </w:t>
      </w:r>
      <w:r w:rsidRPr="000E2C7F">
        <w:rPr>
          <w:rFonts w:ascii="Sylfaen" w:hAnsi="Sylfaen"/>
          <w:i/>
          <w:sz w:val="24"/>
          <w:szCs w:val="24"/>
        </w:rPr>
        <w:t xml:space="preserve">«... բացահայտ հակտանիշների առկայություն» </w:t>
      </w:r>
      <w:r w:rsidRPr="000E2C7F">
        <w:rPr>
          <w:rFonts w:ascii="Sylfaen" w:hAnsi="Sylfaen"/>
          <w:sz w:val="24"/>
          <w:szCs w:val="24"/>
        </w:rPr>
        <w:t>արտահայտությունն անորոշ է:</w:t>
      </w:r>
    </w:p>
    <w:p w:rsidR="00E201A7" w:rsidRPr="000E2C7F" w:rsidRDefault="00E201A7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Նախագծի</w:t>
      </w:r>
      <w:r w:rsidRPr="000E2C7F">
        <w:rPr>
          <w:rFonts w:ascii="Sylfaen" w:hAnsi="Sylfaen"/>
          <w:sz w:val="24"/>
          <w:szCs w:val="24"/>
          <w:lang w:val="en-US"/>
        </w:rPr>
        <w:t xml:space="preserve"> 13-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620321" w:rsidRPr="000E2C7F">
        <w:rPr>
          <w:rFonts w:ascii="Sylfaen" w:hAnsi="Sylfaen"/>
          <w:sz w:val="24"/>
          <w:szCs w:val="24"/>
          <w:lang w:val="en-US"/>
        </w:rPr>
        <w:t xml:space="preserve">3-րդ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խնդրահարույց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է.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նախ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քիմիական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գործածության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փուլերի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դադարեցման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կասեցման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այլընտրանքային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հիմքեր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անվտանգության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պահանջներին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քիմիական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նյութերի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անհամապատասխանության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հայտնաբերման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պահը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պետական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կառավարման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լիազորված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մարմնի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ծանուցագիրը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20321" w:rsidRPr="000E2C7F">
        <w:rPr>
          <w:rFonts w:ascii="Sylfaen" w:hAnsi="Sylfaen"/>
          <w:i/>
          <w:sz w:val="24"/>
          <w:szCs w:val="24"/>
          <w:lang w:val="en-US"/>
        </w:rPr>
        <w:t>ծանուցագիրը</w:t>
      </w:r>
      <w:proofErr w:type="spellEnd"/>
      <w:r w:rsidR="00620321" w:rsidRPr="000E2C7F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այդպիսին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հայտատուի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առաջացնել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քիմիական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գործածության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կասեցնելու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դադարեցնելու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Հայտատուի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պարտականությունը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ծագել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լիազորված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մարմնի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ընդունված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ակտի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620321" w:rsidRPr="000E2C7F">
        <w:rPr>
          <w:rFonts w:ascii="Sylfaen" w:hAnsi="Sylfaen"/>
          <w:sz w:val="24"/>
          <w:szCs w:val="24"/>
          <w:lang w:val="en-US"/>
        </w:rPr>
        <w:t>Երրորդ</w:t>
      </w:r>
      <w:proofErr w:type="spellEnd"/>
      <w:r w:rsidR="00620321"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="00F16B18" w:rsidRPr="000E2C7F">
        <w:rPr>
          <w:rFonts w:ascii="Sylfaen" w:hAnsi="Sylfaen"/>
          <w:sz w:val="24"/>
          <w:szCs w:val="24"/>
          <w:lang w:val="en-US"/>
        </w:rPr>
        <w:t>“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դադարեցումը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>” և “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կասեցումը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”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նշանակություն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ուստի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13-րդ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հոդվածում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6B18" w:rsidRPr="000E2C7F">
        <w:rPr>
          <w:rFonts w:ascii="Sylfaen" w:hAnsi="Sylfaen"/>
          <w:sz w:val="24"/>
          <w:szCs w:val="24"/>
          <w:lang w:val="en-US"/>
        </w:rPr>
        <w:t>ավելացնել</w:t>
      </w:r>
      <w:proofErr w:type="spellEnd"/>
      <w:r w:rsidR="00F16B18" w:rsidRPr="000E2C7F">
        <w:rPr>
          <w:rFonts w:ascii="Sylfaen" w:hAnsi="Sylfaen"/>
          <w:sz w:val="24"/>
          <w:szCs w:val="24"/>
          <w:lang w:val="en-US"/>
        </w:rPr>
        <w:t xml:space="preserve"> 4-րդ և 5-</w:t>
      </w:r>
      <w:r w:rsidR="00F16B18" w:rsidRPr="000E2C7F">
        <w:rPr>
          <w:rFonts w:ascii="Sylfaen" w:hAnsi="Sylfaen"/>
          <w:sz w:val="24"/>
          <w:szCs w:val="24"/>
        </w:rPr>
        <w:t>րդ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մասեր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և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համապատասխանաբար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սահմանել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դրանցից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յուրաքանչյուրի</w:t>
      </w:r>
      <w:r w:rsidR="00F16B18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F16B18" w:rsidRPr="000E2C7F">
        <w:rPr>
          <w:rFonts w:ascii="Sylfaen" w:hAnsi="Sylfaen"/>
          <w:sz w:val="24"/>
          <w:szCs w:val="24"/>
        </w:rPr>
        <w:t>հիմքերը</w:t>
      </w:r>
      <w:r w:rsidR="00F16B18" w:rsidRPr="000E2C7F">
        <w:rPr>
          <w:rFonts w:ascii="Sylfaen" w:hAnsi="Sylfaen"/>
          <w:sz w:val="24"/>
          <w:szCs w:val="24"/>
          <w:lang w:val="en-US"/>
        </w:rPr>
        <w:t>:</w:t>
      </w:r>
    </w:p>
    <w:p w:rsidR="00587FBD" w:rsidRPr="000E2C7F" w:rsidRDefault="00587FBD" w:rsidP="00587FBD">
      <w:pPr>
        <w:pStyle w:val="ListParagraph"/>
        <w:spacing w:after="0" w:line="312" w:lineRule="auto"/>
        <w:ind w:left="900"/>
        <w:jc w:val="both"/>
        <w:rPr>
          <w:rFonts w:ascii="Sylfaen" w:hAnsi="Sylfaen"/>
          <w:sz w:val="24"/>
          <w:szCs w:val="24"/>
          <w:lang w:val="en-US"/>
        </w:rPr>
      </w:pPr>
      <w:r w:rsidRPr="000E2C7F">
        <w:rPr>
          <w:rFonts w:ascii="Sylfaen" w:hAnsi="Sylfaen"/>
          <w:sz w:val="24"/>
          <w:szCs w:val="24"/>
        </w:rPr>
        <w:t>Վերոգրյալի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հիման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վրա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առաջարկում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ենք</w:t>
      </w:r>
      <w:r w:rsidRPr="000E2C7F">
        <w:rPr>
          <w:rFonts w:ascii="Sylfaen" w:hAnsi="Sylfaen"/>
          <w:sz w:val="24"/>
          <w:szCs w:val="24"/>
          <w:lang w:val="en-US"/>
        </w:rPr>
        <w:t xml:space="preserve"> 13-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հոդվածի</w:t>
      </w:r>
      <w:r w:rsidRPr="000E2C7F">
        <w:rPr>
          <w:rFonts w:ascii="Sylfaen" w:hAnsi="Sylfaen"/>
          <w:sz w:val="24"/>
          <w:szCs w:val="24"/>
          <w:lang w:val="en-US"/>
        </w:rPr>
        <w:t xml:space="preserve"> 3-</w:t>
      </w:r>
      <w:r w:rsidRPr="000E2C7F">
        <w:rPr>
          <w:rFonts w:ascii="Sylfaen" w:hAnsi="Sylfaen"/>
          <w:sz w:val="24"/>
          <w:szCs w:val="24"/>
        </w:rPr>
        <w:t>րդ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մասը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վերաձևակերպել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հետևյալ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խմբագրությամբ</w:t>
      </w:r>
      <w:r w:rsidRPr="000E2C7F">
        <w:rPr>
          <w:rFonts w:ascii="Sylfaen" w:hAnsi="Sylfaen"/>
          <w:sz w:val="24"/>
          <w:szCs w:val="24"/>
          <w:lang w:val="en-US"/>
        </w:rPr>
        <w:t>. «</w:t>
      </w:r>
      <w:r w:rsidRPr="000E2C7F">
        <w:rPr>
          <w:rFonts w:ascii="Sylfaen" w:hAnsi="Sylfaen"/>
          <w:sz w:val="24"/>
          <w:szCs w:val="24"/>
        </w:rPr>
        <w:t>Հայաստանի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Հանրապետության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օրենսդրությամբ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սահմանված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անվտանգության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պահանջներին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քիմիական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նյութերի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անհամապատասխանության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հայտնաբերման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դեպքում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պետական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կառավարման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համապատասխան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լիազորված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մարմինը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կայացնում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է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քիմիական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նյութի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գործածության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մեկ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կամ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մի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քանի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փուլերը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կասեցնելու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կամ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դադարեցնելու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մասին</w:t>
      </w:r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Pr="000E2C7F">
        <w:rPr>
          <w:rFonts w:ascii="Sylfaen" w:hAnsi="Sylfaen"/>
          <w:sz w:val="24"/>
          <w:szCs w:val="24"/>
        </w:rPr>
        <w:t>որոշում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="00376C76" w:rsidRPr="000E2C7F">
        <w:rPr>
          <w:rFonts w:ascii="Sylfaen" w:hAnsi="Sylfaen"/>
          <w:sz w:val="24"/>
          <w:szCs w:val="24"/>
        </w:rPr>
        <w:t>որի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մասին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անհապաղ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ծանուցում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է</w:t>
      </w:r>
      <w:r w:rsidR="00376C76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376C76" w:rsidRPr="000E2C7F">
        <w:rPr>
          <w:rFonts w:ascii="Sylfaen" w:hAnsi="Sylfaen"/>
          <w:sz w:val="24"/>
          <w:szCs w:val="24"/>
        </w:rPr>
        <w:t>հայտատուին</w:t>
      </w:r>
      <w:proofErr w:type="gramStart"/>
      <w:r w:rsidR="00376C76" w:rsidRPr="000E2C7F">
        <w:rPr>
          <w:rFonts w:ascii="Sylfaen" w:hAnsi="Sylfaen"/>
          <w:sz w:val="24"/>
          <w:szCs w:val="24"/>
          <w:lang w:val="en-US"/>
        </w:rPr>
        <w:t>:»</w:t>
      </w:r>
      <w:proofErr w:type="gramEnd"/>
      <w:r w:rsidR="00376C76" w:rsidRPr="000E2C7F">
        <w:rPr>
          <w:rFonts w:ascii="Sylfaen" w:hAnsi="Sylfaen"/>
          <w:sz w:val="24"/>
          <w:szCs w:val="24"/>
          <w:lang w:val="en-US"/>
        </w:rPr>
        <w:t>:</w:t>
      </w:r>
    </w:p>
    <w:p w:rsidR="008F6762" w:rsidRPr="000E2C7F" w:rsidRDefault="004464EA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5-րդ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գլուխն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ներառում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ընդամնեը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հղող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նորմեր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նախատեսում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որևէ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դրույթ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ուղղված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հարաբերությունների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կարգավորմանը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պրակտիկային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հանրահայտ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իրավական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ակտերը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իրավունքի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սուբյեկտները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ենթարկվում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lastRenderedPageBreak/>
        <w:t>պատասխանատվության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>:</w:t>
      </w:r>
      <w:r w:rsidR="006D244E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վերահսկողության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հարաբերությունները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կարգավորումը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ոլորտում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B8A" w:rsidRPr="000E2C7F">
        <w:rPr>
          <w:rFonts w:ascii="Sylfaen" w:hAnsi="Sylfaen"/>
          <w:sz w:val="24"/>
          <w:szCs w:val="24"/>
          <w:lang w:val="en-US"/>
        </w:rPr>
        <w:t>իրականացվում</w:t>
      </w:r>
      <w:proofErr w:type="spellEnd"/>
      <w:r w:rsidR="00227B8A" w:rsidRPr="000E2C7F">
        <w:rPr>
          <w:rFonts w:ascii="Sylfaen" w:hAnsi="Sylfaen"/>
          <w:sz w:val="24"/>
          <w:szCs w:val="24"/>
          <w:lang w:val="en-US"/>
        </w:rPr>
        <w:t xml:space="preserve"> է  </w:t>
      </w:r>
      <w:r w:rsidR="00227B8A" w:rsidRPr="000E2C7F">
        <w:rPr>
          <w:rFonts w:ascii="Sylfaen" w:hAnsi="Sylfaen"/>
          <w:sz w:val="24"/>
          <w:szCs w:val="24"/>
        </w:rPr>
        <w:t>համապատասխան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իրավական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ակտերով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, </w:t>
      </w:r>
      <w:r w:rsidR="00227B8A" w:rsidRPr="000E2C7F">
        <w:rPr>
          <w:rFonts w:ascii="Sylfaen" w:hAnsi="Sylfaen"/>
          <w:sz w:val="24"/>
          <w:szCs w:val="24"/>
        </w:rPr>
        <w:t>օրինակ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` </w:t>
      </w:r>
      <w:r w:rsidR="006D244E" w:rsidRPr="000E2C7F">
        <w:rPr>
          <w:rFonts w:ascii="Sylfaen" w:hAnsi="Sylfaen"/>
          <w:sz w:val="24"/>
          <w:szCs w:val="24"/>
          <w:lang w:val="en-US"/>
        </w:rPr>
        <w:t>“</w:t>
      </w:r>
      <w:r w:rsidR="00227B8A" w:rsidRPr="000E2C7F">
        <w:rPr>
          <w:rFonts w:ascii="Sylfaen" w:hAnsi="Sylfaen"/>
          <w:sz w:val="24"/>
          <w:szCs w:val="24"/>
        </w:rPr>
        <w:t>Բնապահպանական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վերահսկողության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մասին</w:t>
      </w:r>
      <w:r w:rsidR="006D244E" w:rsidRPr="000E2C7F">
        <w:rPr>
          <w:rFonts w:ascii="Sylfaen" w:hAnsi="Sylfaen"/>
          <w:sz w:val="24"/>
          <w:szCs w:val="24"/>
          <w:lang w:val="en-US"/>
        </w:rPr>
        <w:t>”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ՀՀ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227B8A" w:rsidRPr="000E2C7F">
        <w:rPr>
          <w:rFonts w:ascii="Sylfaen" w:hAnsi="Sylfaen"/>
          <w:sz w:val="24"/>
          <w:szCs w:val="24"/>
        </w:rPr>
        <w:t>օրենքի</w:t>
      </w:r>
      <w:r w:rsidR="00227B8A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6D244E" w:rsidRPr="000E2C7F">
        <w:rPr>
          <w:rFonts w:ascii="Sylfaen" w:hAnsi="Sylfaen"/>
          <w:sz w:val="24"/>
          <w:szCs w:val="24"/>
          <w:lang w:val="en-US"/>
        </w:rPr>
        <w:t>22-</w:t>
      </w:r>
      <w:r w:rsidR="006D244E" w:rsidRPr="000E2C7F">
        <w:rPr>
          <w:rFonts w:ascii="Sylfaen" w:hAnsi="Sylfaen"/>
          <w:sz w:val="24"/>
          <w:szCs w:val="24"/>
        </w:rPr>
        <w:t>րդ</w:t>
      </w:r>
      <w:r w:rsidR="006D244E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6D244E" w:rsidRPr="000E2C7F">
        <w:rPr>
          <w:rFonts w:ascii="Sylfaen" w:hAnsi="Sylfaen"/>
          <w:sz w:val="24"/>
          <w:szCs w:val="24"/>
        </w:rPr>
        <w:t>հոդվածի</w:t>
      </w:r>
      <w:r w:rsidR="006D244E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6D244E" w:rsidRPr="000E2C7F">
        <w:rPr>
          <w:rFonts w:ascii="Sylfaen" w:hAnsi="Sylfaen"/>
          <w:sz w:val="24"/>
          <w:szCs w:val="24"/>
        </w:rPr>
        <w:t>ուղղություններին</w:t>
      </w:r>
      <w:r w:rsidR="006D244E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6D244E" w:rsidRPr="000E2C7F">
        <w:rPr>
          <w:rFonts w:ascii="Sylfaen" w:hAnsi="Sylfaen"/>
          <w:sz w:val="24"/>
          <w:szCs w:val="24"/>
        </w:rPr>
        <w:t>համապատասխան</w:t>
      </w:r>
      <w:r w:rsidR="006D244E" w:rsidRPr="000E2C7F">
        <w:rPr>
          <w:rFonts w:ascii="Sylfaen" w:hAnsi="Sylfaen"/>
          <w:sz w:val="24"/>
          <w:szCs w:val="24"/>
          <w:lang w:val="en-US"/>
        </w:rPr>
        <w:t xml:space="preserve">: </w:t>
      </w:r>
    </w:p>
    <w:p w:rsidR="006D244E" w:rsidRPr="000E2C7F" w:rsidRDefault="006D244E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8B4" w:rsidRPr="000E2C7F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B648B4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8B4" w:rsidRPr="000E2C7F">
        <w:rPr>
          <w:rFonts w:ascii="Sylfaen" w:hAnsi="Sylfaen"/>
          <w:sz w:val="24"/>
          <w:szCs w:val="24"/>
          <w:lang w:val="en-US"/>
        </w:rPr>
        <w:t>ուղղությամբ</w:t>
      </w:r>
      <w:proofErr w:type="spellEnd"/>
      <w:r w:rsidR="00B648B4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8B4" w:rsidRPr="000E2C7F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B648B4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բնապահպանական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վերահսկողության</w:t>
      </w:r>
      <w:proofErr w:type="spellEnd"/>
      <w:r w:rsidR="00B648B4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8B4" w:rsidRPr="000E2C7F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B648B4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կարևորություն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իրավական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ակտերի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միջև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համակարգային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կապի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ապահովման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0E2C7F">
        <w:rPr>
          <w:rFonts w:ascii="Sylfaen" w:hAnsi="Sylfaen"/>
          <w:sz w:val="24"/>
          <w:szCs w:val="24"/>
        </w:rPr>
        <w:t>անհրաժեշտությունը</w:t>
      </w:r>
      <w:r w:rsidR="000E2C7F" w:rsidRPr="000E2C7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Բնապահպանական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վերահսկողության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” ՀՀ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22-րդ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հոդվածում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հնարավորինս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որոշակիորեն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ամրագրել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վերահսկողության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ուղղությունները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22-րդ </w:t>
      </w:r>
      <w:proofErr w:type="spellStart"/>
      <w:r w:rsidR="00781075" w:rsidRPr="000E2C7F">
        <w:rPr>
          <w:rFonts w:ascii="Sylfaen" w:hAnsi="Sylfaen"/>
          <w:sz w:val="24"/>
          <w:szCs w:val="24"/>
          <w:lang w:val="en-US"/>
        </w:rPr>
        <w:t>հոդվածի</w:t>
      </w:r>
      <w:proofErr w:type="spellEnd"/>
      <w:r w:rsidR="00781075" w:rsidRPr="000E2C7F">
        <w:rPr>
          <w:rFonts w:ascii="Sylfaen" w:hAnsi="Sylfaen"/>
          <w:sz w:val="24"/>
          <w:szCs w:val="24"/>
          <w:lang w:val="en-US"/>
        </w:rPr>
        <w:t xml:space="preserve"> 1-</w:t>
      </w:r>
      <w:r w:rsidR="00781075" w:rsidRPr="000E2C7F">
        <w:rPr>
          <w:rFonts w:ascii="Sylfaen" w:hAnsi="Sylfaen"/>
          <w:sz w:val="24"/>
          <w:szCs w:val="24"/>
        </w:rPr>
        <w:t>ին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81075" w:rsidRPr="000E2C7F">
        <w:rPr>
          <w:rFonts w:ascii="Sylfaen" w:hAnsi="Sylfaen"/>
          <w:sz w:val="24"/>
          <w:szCs w:val="24"/>
        </w:rPr>
        <w:t>մասի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6-</w:t>
      </w:r>
      <w:r w:rsidR="00781075" w:rsidRPr="000E2C7F">
        <w:rPr>
          <w:rFonts w:ascii="Sylfaen" w:hAnsi="Sylfaen"/>
          <w:sz w:val="24"/>
          <w:szCs w:val="24"/>
        </w:rPr>
        <w:t>րդ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81075" w:rsidRPr="000E2C7F">
        <w:rPr>
          <w:rFonts w:ascii="Sylfaen" w:hAnsi="Sylfaen"/>
          <w:sz w:val="24"/>
          <w:szCs w:val="24"/>
        </w:rPr>
        <w:t>ենթակետով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781075" w:rsidRPr="000E2C7F">
        <w:rPr>
          <w:rFonts w:ascii="Sylfaen" w:hAnsi="Sylfaen"/>
          <w:sz w:val="24"/>
          <w:szCs w:val="24"/>
        </w:rPr>
        <w:t>նախատեսված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5C7DC0" w:rsidRPr="000E2C7F">
        <w:rPr>
          <w:rFonts w:ascii="Sylfaen" w:hAnsi="Sylfaen"/>
          <w:sz w:val="24"/>
          <w:szCs w:val="24"/>
        </w:rPr>
        <w:t>ուղղությունները</w:t>
      </w:r>
      <w:r w:rsidR="005C7DC0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5C7DC0" w:rsidRPr="000E2C7F">
        <w:rPr>
          <w:rFonts w:ascii="Sylfaen" w:hAnsi="Sylfaen"/>
          <w:sz w:val="24"/>
          <w:szCs w:val="24"/>
        </w:rPr>
        <w:t>ձևակերպված</w:t>
      </w:r>
      <w:r w:rsidR="005C7DC0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5C7DC0" w:rsidRPr="000E2C7F">
        <w:rPr>
          <w:rFonts w:ascii="Sylfaen" w:hAnsi="Sylfaen"/>
          <w:sz w:val="24"/>
          <w:szCs w:val="24"/>
        </w:rPr>
        <w:t>են</w:t>
      </w:r>
      <w:r w:rsidR="005C7DC0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5C7DC0" w:rsidRPr="000E2C7F">
        <w:rPr>
          <w:rFonts w:ascii="Sylfaen" w:hAnsi="Sylfaen"/>
          <w:sz w:val="24"/>
          <w:szCs w:val="24"/>
        </w:rPr>
        <w:t>ընդհանուր</w:t>
      </w:r>
      <w:r w:rsidR="005C7DC0" w:rsidRPr="000E2C7F">
        <w:rPr>
          <w:rFonts w:ascii="Sylfaen" w:hAnsi="Sylfaen"/>
          <w:sz w:val="24"/>
          <w:szCs w:val="24"/>
          <w:lang w:val="en-US"/>
        </w:rPr>
        <w:t xml:space="preserve"> </w:t>
      </w:r>
      <w:r w:rsidR="005C7DC0" w:rsidRPr="000E2C7F">
        <w:rPr>
          <w:rFonts w:ascii="Sylfaen" w:hAnsi="Sylfaen"/>
          <w:sz w:val="24"/>
          <w:szCs w:val="24"/>
        </w:rPr>
        <w:t>կերպով</w:t>
      </w:r>
      <w:r w:rsidR="005C7DC0" w:rsidRPr="000E2C7F">
        <w:rPr>
          <w:rFonts w:ascii="Sylfaen" w:hAnsi="Sylfaen"/>
          <w:sz w:val="24"/>
          <w:szCs w:val="24"/>
          <w:lang w:val="en-US"/>
        </w:rPr>
        <w:t xml:space="preserve">: </w:t>
      </w:r>
      <w:r w:rsidR="00781075" w:rsidRPr="000E2C7F">
        <w:rPr>
          <w:rFonts w:ascii="Sylfaen" w:hAnsi="Sylfaen"/>
          <w:sz w:val="24"/>
          <w:szCs w:val="24"/>
          <w:lang w:val="en-US"/>
        </w:rPr>
        <w:t xml:space="preserve"> </w:t>
      </w:r>
    </w:p>
    <w:p w:rsidR="0082309E" w:rsidRPr="000E2C7F" w:rsidRDefault="00685370" w:rsidP="00AF5B3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արդյունավետությունն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ապահովելու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մշակել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իրավախախտումների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օրենսգրքում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լրացում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”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նախագիծ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սահմանելով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օրենքի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ոլորտի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իրավախախտումները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կիրառվող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պատասխանատվության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տեսակը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E2C7F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0E2C7F">
        <w:rPr>
          <w:rFonts w:ascii="Sylfaen" w:hAnsi="Sylfaen"/>
          <w:sz w:val="24"/>
          <w:szCs w:val="24"/>
          <w:lang w:val="en-US"/>
        </w:rPr>
        <w:t>:</w:t>
      </w:r>
    </w:p>
    <w:p w:rsidR="00B41E4C" w:rsidRPr="000E2C7F" w:rsidRDefault="00B41E4C" w:rsidP="00AF5B3C">
      <w:pPr>
        <w:spacing w:after="0" w:line="312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B41E4C" w:rsidRPr="000E2C7F" w:rsidSect="008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DC"/>
    <w:multiLevelType w:val="hybridMultilevel"/>
    <w:tmpl w:val="1F72AFEA"/>
    <w:lvl w:ilvl="0" w:tplc="A2A4F140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B0487"/>
    <w:multiLevelType w:val="hybridMultilevel"/>
    <w:tmpl w:val="A6BA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934"/>
    <w:multiLevelType w:val="hybridMultilevel"/>
    <w:tmpl w:val="28E2C5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87DC5"/>
    <w:multiLevelType w:val="hybridMultilevel"/>
    <w:tmpl w:val="C186EC22"/>
    <w:lvl w:ilvl="0" w:tplc="49B40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260B71"/>
    <w:multiLevelType w:val="hybridMultilevel"/>
    <w:tmpl w:val="1F72AFEA"/>
    <w:lvl w:ilvl="0" w:tplc="A2A4F140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20334"/>
    <w:multiLevelType w:val="hybridMultilevel"/>
    <w:tmpl w:val="131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1D13"/>
    <w:multiLevelType w:val="hybridMultilevel"/>
    <w:tmpl w:val="3052130A"/>
    <w:lvl w:ilvl="0" w:tplc="A2A4F140">
      <w:start w:val="1"/>
      <w:numFmt w:val="decimal"/>
      <w:lvlText w:val="%1)"/>
      <w:lvlJc w:val="left"/>
      <w:pPr>
        <w:ind w:left="19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73"/>
    <w:rsid w:val="000E2C7F"/>
    <w:rsid w:val="0016492E"/>
    <w:rsid w:val="00227B8A"/>
    <w:rsid w:val="00302A72"/>
    <w:rsid w:val="00376C76"/>
    <w:rsid w:val="003F4E7D"/>
    <w:rsid w:val="00421192"/>
    <w:rsid w:val="004237DB"/>
    <w:rsid w:val="004464EA"/>
    <w:rsid w:val="00482279"/>
    <w:rsid w:val="00587FBD"/>
    <w:rsid w:val="005C7DC0"/>
    <w:rsid w:val="00620321"/>
    <w:rsid w:val="00685370"/>
    <w:rsid w:val="006D244E"/>
    <w:rsid w:val="007632DA"/>
    <w:rsid w:val="00781075"/>
    <w:rsid w:val="007969DD"/>
    <w:rsid w:val="007D251A"/>
    <w:rsid w:val="0082309E"/>
    <w:rsid w:val="00831948"/>
    <w:rsid w:val="00855773"/>
    <w:rsid w:val="008F6762"/>
    <w:rsid w:val="009C5CA4"/>
    <w:rsid w:val="00AF5B3C"/>
    <w:rsid w:val="00B41E4C"/>
    <w:rsid w:val="00B648B4"/>
    <w:rsid w:val="00CA17D8"/>
    <w:rsid w:val="00E201A7"/>
    <w:rsid w:val="00E32438"/>
    <w:rsid w:val="00E353F9"/>
    <w:rsid w:val="00F16B18"/>
    <w:rsid w:val="00F421D5"/>
    <w:rsid w:val="00F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DA"/>
    <w:pPr>
      <w:ind w:left="720"/>
      <w:contextualSpacing/>
    </w:pPr>
  </w:style>
  <w:style w:type="paragraph" w:styleId="NormalWeb">
    <w:name w:val="Normal (Web)"/>
    <w:basedOn w:val="Normal"/>
    <w:unhideWhenUsed/>
    <w:rsid w:val="00AF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Heghine Hakhverdyan</cp:lastModifiedBy>
  <cp:revision>14</cp:revision>
  <dcterms:created xsi:type="dcterms:W3CDTF">2012-02-06T06:33:00Z</dcterms:created>
  <dcterms:modified xsi:type="dcterms:W3CDTF">2012-02-07T12:04:00Z</dcterms:modified>
</cp:coreProperties>
</file>